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BD7" w:rsidRPr="00444DBF" w:rsidRDefault="00834393" w:rsidP="00834393">
      <w:pPr>
        <w:ind w:firstLine="0"/>
        <w:jc w:val="center"/>
        <w:rPr>
          <w:b/>
          <w:sz w:val="26"/>
          <w:szCs w:val="26"/>
        </w:rPr>
      </w:pPr>
      <w:r w:rsidRPr="00444DBF">
        <w:rPr>
          <w:b/>
          <w:sz w:val="26"/>
          <w:szCs w:val="26"/>
        </w:rPr>
        <w:t>Методические рекомендации при оформлении Акта согласования</w:t>
      </w:r>
      <w:r w:rsidR="006403FB" w:rsidRPr="00444DBF">
        <w:rPr>
          <w:b/>
          <w:sz w:val="26"/>
          <w:szCs w:val="26"/>
        </w:rPr>
        <w:t xml:space="preserve"> </w:t>
      </w:r>
      <w:r w:rsidRPr="00444DBF">
        <w:rPr>
          <w:b/>
          <w:sz w:val="26"/>
          <w:szCs w:val="26"/>
        </w:rPr>
        <w:t>технологической и (или) аварийной брони</w:t>
      </w:r>
    </w:p>
    <w:p w:rsidR="001C1BD7" w:rsidRPr="00444DBF" w:rsidRDefault="001C1BD7" w:rsidP="00335A8D">
      <w:pPr>
        <w:rPr>
          <w:b/>
          <w:sz w:val="26"/>
          <w:szCs w:val="26"/>
        </w:rPr>
      </w:pPr>
    </w:p>
    <w:p w:rsidR="007B26E8" w:rsidRPr="00444DBF" w:rsidRDefault="00834393" w:rsidP="00335A8D">
      <w:pPr>
        <w:autoSpaceDE w:val="0"/>
        <w:autoSpaceDN w:val="0"/>
        <w:adjustRightInd w:val="0"/>
        <w:rPr>
          <w:sz w:val="26"/>
          <w:szCs w:val="26"/>
        </w:rPr>
      </w:pPr>
      <w:r w:rsidRPr="00444DBF">
        <w:rPr>
          <w:sz w:val="26"/>
          <w:szCs w:val="26"/>
        </w:rPr>
        <w:t xml:space="preserve">1. </w:t>
      </w:r>
      <w:r w:rsidR="00FE0BF4" w:rsidRPr="00444DBF">
        <w:rPr>
          <w:rFonts w:cs="Times New Roman"/>
          <w:sz w:val="26"/>
          <w:szCs w:val="26"/>
        </w:rPr>
        <w:t xml:space="preserve">Для рассмотрения (оформления) </w:t>
      </w:r>
      <w:r w:rsidR="007B26E8" w:rsidRPr="00444DBF">
        <w:rPr>
          <w:sz w:val="26"/>
          <w:szCs w:val="26"/>
        </w:rPr>
        <w:t>Акта согласования технологической и (или) аварийной бро</w:t>
      </w:r>
      <w:r w:rsidR="001C1BD7" w:rsidRPr="00444DBF">
        <w:rPr>
          <w:sz w:val="26"/>
          <w:szCs w:val="26"/>
        </w:rPr>
        <w:t xml:space="preserve">ни (далее </w:t>
      </w:r>
      <w:r w:rsidR="00030E2C" w:rsidRPr="00444DBF">
        <w:rPr>
          <w:sz w:val="26"/>
          <w:szCs w:val="26"/>
        </w:rPr>
        <w:t xml:space="preserve">– </w:t>
      </w:r>
      <w:r w:rsidR="001C1BD7" w:rsidRPr="00444DBF">
        <w:rPr>
          <w:sz w:val="26"/>
          <w:szCs w:val="26"/>
        </w:rPr>
        <w:t>Акт АТБ)</w:t>
      </w:r>
      <w:r w:rsidR="001C1BD7" w:rsidRPr="00444DBF">
        <w:rPr>
          <w:b/>
          <w:sz w:val="26"/>
          <w:szCs w:val="26"/>
        </w:rPr>
        <w:t xml:space="preserve"> </w:t>
      </w:r>
      <w:r w:rsidR="00FE0BF4" w:rsidRPr="00444DBF">
        <w:rPr>
          <w:b/>
          <w:sz w:val="26"/>
          <w:szCs w:val="26"/>
        </w:rPr>
        <w:t>должны быть в наличии</w:t>
      </w:r>
      <w:r w:rsidR="007B26E8" w:rsidRPr="00444DBF">
        <w:rPr>
          <w:sz w:val="26"/>
          <w:szCs w:val="26"/>
        </w:rPr>
        <w:t xml:space="preserve"> </w:t>
      </w:r>
      <w:r w:rsidRPr="00444DBF">
        <w:rPr>
          <w:sz w:val="26"/>
          <w:szCs w:val="26"/>
        </w:rPr>
        <w:t xml:space="preserve">главные </w:t>
      </w:r>
      <w:r w:rsidR="007B26E8" w:rsidRPr="00444DBF">
        <w:rPr>
          <w:sz w:val="26"/>
          <w:szCs w:val="26"/>
        </w:rPr>
        <w:t>электрические схемы внутреннего электроснабжения</w:t>
      </w:r>
      <w:r w:rsidR="00E86206" w:rsidRPr="00444DBF">
        <w:rPr>
          <w:sz w:val="26"/>
          <w:szCs w:val="26"/>
        </w:rPr>
        <w:t>, технологические карты</w:t>
      </w:r>
      <w:r w:rsidRPr="00444DBF">
        <w:rPr>
          <w:sz w:val="26"/>
          <w:szCs w:val="26"/>
        </w:rPr>
        <w:t>.</w:t>
      </w:r>
      <w:r w:rsidR="00FE0BF4" w:rsidRPr="00444DBF">
        <w:rPr>
          <w:b/>
          <w:sz w:val="26"/>
          <w:szCs w:val="26"/>
        </w:rPr>
        <w:t xml:space="preserve"> </w:t>
      </w:r>
      <w:r w:rsidR="00FE0BF4" w:rsidRPr="00444DBF">
        <w:rPr>
          <w:sz w:val="26"/>
          <w:szCs w:val="26"/>
        </w:rPr>
        <w:t>При отсутствии необходимых документов или недостаточной информации</w:t>
      </w:r>
      <w:r w:rsidR="00FE0BF4" w:rsidRPr="00444DBF">
        <w:rPr>
          <w:b/>
          <w:sz w:val="26"/>
          <w:szCs w:val="26"/>
        </w:rPr>
        <w:t xml:space="preserve"> </w:t>
      </w:r>
      <w:r w:rsidR="00FE0BF4" w:rsidRPr="00444DBF">
        <w:rPr>
          <w:sz w:val="26"/>
          <w:szCs w:val="26"/>
        </w:rPr>
        <w:t>в них</w:t>
      </w:r>
      <w:r w:rsidR="00FE0BF4" w:rsidRPr="00444DBF">
        <w:rPr>
          <w:b/>
          <w:sz w:val="26"/>
          <w:szCs w:val="26"/>
        </w:rPr>
        <w:t xml:space="preserve"> должно быть проведено </w:t>
      </w:r>
      <w:r w:rsidR="00FE0BF4" w:rsidRPr="00444DBF">
        <w:rPr>
          <w:b/>
          <w:sz w:val="26"/>
          <w:szCs w:val="26"/>
        </w:rPr>
        <w:t>обследование</w:t>
      </w:r>
      <w:r w:rsidR="00FE0BF4" w:rsidRPr="00444DBF">
        <w:rPr>
          <w:b/>
          <w:sz w:val="26"/>
          <w:szCs w:val="26"/>
        </w:rPr>
        <w:t xml:space="preserve"> </w:t>
      </w:r>
      <w:proofErr w:type="spellStart"/>
      <w:r w:rsidR="00FE0BF4" w:rsidRPr="00444DBF">
        <w:rPr>
          <w:sz w:val="26"/>
          <w:szCs w:val="26"/>
        </w:rPr>
        <w:t>энергопринимающих</w:t>
      </w:r>
      <w:proofErr w:type="spellEnd"/>
      <w:r w:rsidR="00FE0BF4" w:rsidRPr="00444DBF">
        <w:rPr>
          <w:sz w:val="26"/>
          <w:szCs w:val="26"/>
        </w:rPr>
        <w:t xml:space="preserve"> устройств и схемы энергоснабжения.</w:t>
      </w:r>
    </w:p>
    <w:p w:rsidR="005B761F" w:rsidRPr="00444DBF" w:rsidRDefault="005B761F" w:rsidP="00335A8D">
      <w:pPr>
        <w:rPr>
          <w:sz w:val="26"/>
          <w:szCs w:val="26"/>
        </w:rPr>
      </w:pPr>
    </w:p>
    <w:p w:rsidR="00834393" w:rsidRPr="00444DBF" w:rsidRDefault="00834393" w:rsidP="00335A8D">
      <w:pPr>
        <w:rPr>
          <w:sz w:val="26"/>
          <w:szCs w:val="26"/>
        </w:rPr>
      </w:pPr>
      <w:r w:rsidRPr="00444DBF">
        <w:rPr>
          <w:sz w:val="26"/>
          <w:szCs w:val="26"/>
        </w:rPr>
        <w:t>2</w:t>
      </w:r>
      <w:r w:rsidR="000F7869" w:rsidRPr="00444DBF">
        <w:rPr>
          <w:sz w:val="26"/>
          <w:szCs w:val="26"/>
        </w:rPr>
        <w:t xml:space="preserve">. </w:t>
      </w:r>
      <w:r w:rsidRPr="00444DBF">
        <w:rPr>
          <w:sz w:val="26"/>
          <w:szCs w:val="26"/>
        </w:rPr>
        <w:t>К Акту АТБ должна прилагаться принципиальная однолинейная электрическая схема электроснабжения объекта (объектов) потребителя в нормальном режиме с указанием:</w:t>
      </w:r>
    </w:p>
    <w:p w:rsidR="00834393" w:rsidRPr="00444DBF" w:rsidRDefault="00834393" w:rsidP="00335A8D">
      <w:pPr>
        <w:rPr>
          <w:sz w:val="26"/>
          <w:szCs w:val="26"/>
        </w:rPr>
      </w:pPr>
      <w:r w:rsidRPr="00444DBF">
        <w:rPr>
          <w:sz w:val="26"/>
          <w:szCs w:val="26"/>
        </w:rPr>
        <w:t>а) границ эксплуатационной ответственности между потребителем и сетевой организацией;</w:t>
      </w:r>
    </w:p>
    <w:p w:rsidR="00834393" w:rsidRPr="00444DBF" w:rsidRDefault="00834393" w:rsidP="00335A8D">
      <w:pPr>
        <w:rPr>
          <w:sz w:val="26"/>
          <w:szCs w:val="26"/>
        </w:rPr>
      </w:pPr>
      <w:r w:rsidRPr="00444DBF">
        <w:rPr>
          <w:sz w:val="26"/>
          <w:szCs w:val="26"/>
        </w:rPr>
        <w:t>б) линий электропередачи и оборудования, по которым осуществляется внешнее электроснабжение электроустановок потребителя, с указанием их диспетчерских наименований и длительно допустимых токовых нагрузок;</w:t>
      </w:r>
    </w:p>
    <w:p w:rsidR="00834393" w:rsidRPr="00444DBF" w:rsidRDefault="00834393" w:rsidP="00335A8D">
      <w:pPr>
        <w:rPr>
          <w:sz w:val="26"/>
          <w:szCs w:val="26"/>
        </w:rPr>
      </w:pPr>
      <w:r w:rsidRPr="00444DBF">
        <w:rPr>
          <w:sz w:val="26"/>
          <w:szCs w:val="26"/>
        </w:rPr>
        <w:t>в) линии электропередачи и оборудование (с указанием их диспетчерских наименований и длительно допустимых токовых нагрузок), образующие схему внутреннего электроснабжения электроустановок потребителя, по которым возможно резервирование электроснабжения электроустановок потребителя от внешних источников электроснабжения;</w:t>
      </w:r>
    </w:p>
    <w:p w:rsidR="00834393" w:rsidRPr="00444DBF" w:rsidRDefault="00834393" w:rsidP="00335A8D">
      <w:pPr>
        <w:rPr>
          <w:sz w:val="26"/>
          <w:szCs w:val="26"/>
        </w:rPr>
      </w:pPr>
      <w:r w:rsidRPr="00444DBF">
        <w:rPr>
          <w:sz w:val="26"/>
          <w:szCs w:val="26"/>
        </w:rPr>
        <w:t>г) нормальное положение коммутационных аппаратов (включено, отключено), посредством которых возможно изменение электрических схем внутреннего и внешнего электроснабжения;</w:t>
      </w:r>
    </w:p>
    <w:p w:rsidR="00834393" w:rsidRPr="00444DBF" w:rsidRDefault="00834393" w:rsidP="00834393">
      <w:pPr>
        <w:rPr>
          <w:sz w:val="26"/>
          <w:szCs w:val="26"/>
        </w:rPr>
      </w:pPr>
      <w:r w:rsidRPr="00444DBF">
        <w:rPr>
          <w:sz w:val="26"/>
          <w:szCs w:val="26"/>
        </w:rPr>
        <w:t>д) наличие устройств автоматического включения резерва (с указанием одностороннего или двустороннего его действия);</w:t>
      </w:r>
    </w:p>
    <w:p w:rsidR="00834393" w:rsidRPr="00444DBF" w:rsidRDefault="00834393" w:rsidP="00834393">
      <w:pPr>
        <w:rPr>
          <w:sz w:val="26"/>
          <w:szCs w:val="26"/>
        </w:rPr>
      </w:pPr>
      <w:r w:rsidRPr="00444DBF">
        <w:rPr>
          <w:sz w:val="26"/>
          <w:szCs w:val="26"/>
        </w:rPr>
        <w:t>е) токоприемников технологической и (или) аварийной брони электроснабжения потребителя.</w:t>
      </w:r>
    </w:p>
    <w:p w:rsidR="001407B7" w:rsidRPr="00444DBF" w:rsidRDefault="00BA43F1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Однолинейная схема и её характеристик должны соответствовать документам о</w:t>
      </w:r>
      <w:r w:rsidR="001407B7" w:rsidRPr="00444DBF">
        <w:rPr>
          <w:sz w:val="26"/>
          <w:szCs w:val="26"/>
        </w:rPr>
        <w:t xml:space="preserve"> технологическом присоединении,</w:t>
      </w:r>
      <w:r w:rsidRPr="00444DBF">
        <w:rPr>
          <w:sz w:val="26"/>
          <w:szCs w:val="26"/>
        </w:rPr>
        <w:t xml:space="preserve"> утвержденным схемам энергоснабжения и результатам проведенного обследования. </w:t>
      </w:r>
    </w:p>
    <w:p w:rsidR="001407B7" w:rsidRPr="00444DBF" w:rsidRDefault="001407B7" w:rsidP="00B430F8">
      <w:pPr>
        <w:rPr>
          <w:sz w:val="26"/>
          <w:szCs w:val="26"/>
        </w:rPr>
      </w:pPr>
    </w:p>
    <w:p w:rsidR="00B430F8" w:rsidRPr="00444DBF" w:rsidRDefault="00663C08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3</w:t>
      </w:r>
      <w:r w:rsidR="00B430F8" w:rsidRPr="00444DBF">
        <w:rPr>
          <w:sz w:val="26"/>
          <w:szCs w:val="26"/>
        </w:rPr>
        <w:t xml:space="preserve">. </w:t>
      </w:r>
      <w:r w:rsidR="001D56F5" w:rsidRPr="00444DBF">
        <w:rPr>
          <w:sz w:val="26"/>
          <w:szCs w:val="26"/>
        </w:rPr>
        <w:t>Заполнение</w:t>
      </w:r>
      <w:r w:rsidR="00427932" w:rsidRPr="00444DBF">
        <w:rPr>
          <w:sz w:val="26"/>
          <w:szCs w:val="26"/>
        </w:rPr>
        <w:t xml:space="preserve"> раздела I </w:t>
      </w:r>
      <w:r w:rsidR="00B430F8" w:rsidRPr="00444DBF">
        <w:rPr>
          <w:sz w:val="26"/>
          <w:szCs w:val="26"/>
        </w:rPr>
        <w:t>Акта</w:t>
      </w:r>
      <w:r w:rsidR="00427932" w:rsidRPr="00444DBF">
        <w:rPr>
          <w:sz w:val="26"/>
          <w:szCs w:val="26"/>
        </w:rPr>
        <w:t xml:space="preserve"> АТБ</w:t>
      </w:r>
      <w:r w:rsidR="00B430F8" w:rsidRPr="00444DBF">
        <w:rPr>
          <w:sz w:val="26"/>
          <w:szCs w:val="26"/>
        </w:rPr>
        <w:t xml:space="preserve"> </w:t>
      </w:r>
      <w:r w:rsidR="00030E2C" w:rsidRPr="00444DBF">
        <w:rPr>
          <w:sz w:val="26"/>
          <w:szCs w:val="26"/>
        </w:rPr>
        <w:t>–</w:t>
      </w:r>
      <w:r w:rsidR="00B430F8" w:rsidRPr="00444DBF">
        <w:rPr>
          <w:sz w:val="26"/>
          <w:szCs w:val="26"/>
        </w:rPr>
        <w:t xml:space="preserve"> Общие сведения</w:t>
      </w:r>
      <w:r w:rsidR="00504C89" w:rsidRPr="00444DBF">
        <w:rPr>
          <w:sz w:val="26"/>
          <w:szCs w:val="26"/>
        </w:rPr>
        <w:t>.</w:t>
      </w:r>
    </w:p>
    <w:p w:rsidR="004A75CE" w:rsidRPr="00444DBF" w:rsidRDefault="00663C08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3.</w:t>
      </w:r>
      <w:r w:rsidR="004A75CE" w:rsidRPr="00444DBF">
        <w:rPr>
          <w:sz w:val="26"/>
          <w:szCs w:val="26"/>
        </w:rPr>
        <w:t xml:space="preserve">1. </w:t>
      </w:r>
      <w:r w:rsidR="001407B7" w:rsidRPr="00444DBF">
        <w:rPr>
          <w:sz w:val="26"/>
          <w:szCs w:val="26"/>
        </w:rPr>
        <w:t>В строке</w:t>
      </w:r>
      <w:r w:rsidR="007D6FCB" w:rsidRPr="00444DBF">
        <w:rPr>
          <w:sz w:val="26"/>
          <w:szCs w:val="26"/>
        </w:rPr>
        <w:t xml:space="preserve"> 1 указывается информация из правоустанавливающих документов организации или из официального сайта ФНС России (</w:t>
      </w:r>
      <w:hyperlink r:id="rId5" w:history="1">
        <w:r w:rsidR="00256D81" w:rsidRPr="00444DBF">
          <w:rPr>
            <w:rStyle w:val="ad"/>
            <w:color w:val="auto"/>
            <w:sz w:val="26"/>
            <w:szCs w:val="26"/>
          </w:rPr>
          <w:t>https://www.nalog.ru</w:t>
        </w:r>
      </w:hyperlink>
      <w:r w:rsidR="007D6FCB" w:rsidRPr="00444DBF">
        <w:rPr>
          <w:sz w:val="26"/>
          <w:szCs w:val="26"/>
        </w:rPr>
        <w:t>).</w:t>
      </w:r>
    </w:p>
    <w:p w:rsidR="00A943FE" w:rsidRPr="00444DBF" w:rsidRDefault="001407B7" w:rsidP="007D6FCB">
      <w:pPr>
        <w:rPr>
          <w:sz w:val="26"/>
          <w:szCs w:val="26"/>
        </w:rPr>
      </w:pPr>
      <w:r w:rsidRPr="00444DBF">
        <w:rPr>
          <w:sz w:val="26"/>
          <w:szCs w:val="26"/>
        </w:rPr>
        <w:t>3.2. В строках</w:t>
      </w:r>
      <w:r w:rsidR="007D6FCB" w:rsidRPr="00444DBF">
        <w:rPr>
          <w:sz w:val="26"/>
          <w:szCs w:val="26"/>
        </w:rPr>
        <w:t xml:space="preserve"> 2 </w:t>
      </w:r>
      <w:r w:rsidR="007002C4" w:rsidRPr="00444DBF">
        <w:rPr>
          <w:sz w:val="26"/>
          <w:szCs w:val="26"/>
        </w:rPr>
        <w:t xml:space="preserve">– </w:t>
      </w:r>
      <w:r w:rsidR="007D6FCB" w:rsidRPr="00444DBF">
        <w:rPr>
          <w:sz w:val="26"/>
          <w:szCs w:val="26"/>
        </w:rPr>
        <w:t xml:space="preserve">3 перечень </w:t>
      </w:r>
      <w:proofErr w:type="spellStart"/>
      <w:r w:rsidR="007D6FCB" w:rsidRPr="00444DBF">
        <w:rPr>
          <w:sz w:val="26"/>
          <w:szCs w:val="26"/>
        </w:rPr>
        <w:t>энергопринимающих</w:t>
      </w:r>
      <w:proofErr w:type="spellEnd"/>
      <w:r w:rsidR="007D6FCB" w:rsidRPr="00444DBF">
        <w:rPr>
          <w:sz w:val="26"/>
          <w:szCs w:val="26"/>
        </w:rPr>
        <w:t xml:space="preserve"> устройств указывается </w:t>
      </w:r>
      <w:r w:rsidR="00A943FE" w:rsidRPr="00444DBF">
        <w:rPr>
          <w:sz w:val="26"/>
          <w:szCs w:val="26"/>
        </w:rPr>
        <w:t xml:space="preserve">в соответствии </w:t>
      </w:r>
      <w:r w:rsidR="00B6249E" w:rsidRPr="00444DBF">
        <w:rPr>
          <w:sz w:val="26"/>
          <w:szCs w:val="26"/>
        </w:rPr>
        <w:t xml:space="preserve">технологическими картами и схемами электроснабжения, адрес места расположения </w:t>
      </w:r>
      <w:proofErr w:type="spellStart"/>
      <w:r w:rsidR="00B6249E" w:rsidRPr="00444DBF">
        <w:rPr>
          <w:sz w:val="26"/>
          <w:szCs w:val="26"/>
        </w:rPr>
        <w:t>энергопринимающих</w:t>
      </w:r>
      <w:proofErr w:type="spellEnd"/>
      <w:r w:rsidR="00B6249E" w:rsidRPr="00444DBF">
        <w:rPr>
          <w:sz w:val="26"/>
          <w:szCs w:val="26"/>
        </w:rPr>
        <w:t xml:space="preserve"> устройств указывается из правоустанавливающих документов на объект энергоснабжения, наименование питающих их линий указывается из результатов обследования и схем энергоснабжения.</w:t>
      </w:r>
    </w:p>
    <w:p w:rsidR="00B430F8" w:rsidRPr="00444DBF" w:rsidRDefault="00916D1B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 xml:space="preserve">3.3. </w:t>
      </w:r>
      <w:r w:rsidR="001407B7" w:rsidRPr="00444DBF">
        <w:rPr>
          <w:sz w:val="26"/>
          <w:szCs w:val="26"/>
        </w:rPr>
        <w:t>В</w:t>
      </w:r>
      <w:r w:rsidR="00B430F8" w:rsidRPr="00444DBF">
        <w:rPr>
          <w:sz w:val="26"/>
          <w:szCs w:val="26"/>
        </w:rPr>
        <w:t xml:space="preserve"> строке 6 указывается фактическое количество смен, время начала и окончания каждой смены в часах и минутах (при необходимости), </w:t>
      </w:r>
      <w:r w:rsidR="007002C4" w:rsidRPr="00444DBF">
        <w:rPr>
          <w:sz w:val="26"/>
          <w:szCs w:val="26"/>
        </w:rPr>
        <w:t xml:space="preserve">нерабочие </w:t>
      </w:r>
      <w:r w:rsidR="00B430F8" w:rsidRPr="00444DBF">
        <w:rPr>
          <w:sz w:val="26"/>
          <w:szCs w:val="26"/>
        </w:rPr>
        <w:t>дни недели потребителя</w:t>
      </w:r>
      <w:r w:rsidR="000959D3" w:rsidRPr="00444DBF">
        <w:rPr>
          <w:sz w:val="26"/>
          <w:szCs w:val="26"/>
        </w:rPr>
        <w:t>, либо круглосуточный режим работы</w:t>
      </w:r>
      <w:r w:rsidR="00B430F8" w:rsidRPr="00444DBF">
        <w:rPr>
          <w:sz w:val="26"/>
          <w:szCs w:val="26"/>
        </w:rPr>
        <w:t>.</w:t>
      </w:r>
    </w:p>
    <w:p w:rsidR="00B430F8" w:rsidRPr="00444DBF" w:rsidRDefault="00916D1B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lastRenderedPageBreak/>
        <w:t>3.4.</w:t>
      </w:r>
      <w:r w:rsidR="00B430F8" w:rsidRPr="00444DBF">
        <w:rPr>
          <w:sz w:val="26"/>
          <w:szCs w:val="26"/>
        </w:rPr>
        <w:t xml:space="preserve"> </w:t>
      </w:r>
      <w:r w:rsidR="007002C4" w:rsidRPr="00444DBF">
        <w:rPr>
          <w:sz w:val="26"/>
          <w:szCs w:val="26"/>
        </w:rPr>
        <w:t>В</w:t>
      </w:r>
      <w:r w:rsidR="00B430F8" w:rsidRPr="00444DBF">
        <w:rPr>
          <w:sz w:val="26"/>
          <w:szCs w:val="26"/>
        </w:rPr>
        <w:t xml:space="preserve"> строка</w:t>
      </w:r>
      <w:r w:rsidR="007002C4" w:rsidRPr="00444DBF">
        <w:rPr>
          <w:sz w:val="26"/>
          <w:szCs w:val="26"/>
        </w:rPr>
        <w:t>х</w:t>
      </w:r>
      <w:r w:rsidR="00B430F8" w:rsidRPr="00444DBF">
        <w:rPr>
          <w:sz w:val="26"/>
          <w:szCs w:val="26"/>
        </w:rPr>
        <w:t xml:space="preserve"> 7 </w:t>
      </w:r>
      <w:r w:rsidR="007002C4" w:rsidRPr="00444DBF">
        <w:rPr>
          <w:sz w:val="26"/>
          <w:szCs w:val="26"/>
        </w:rPr>
        <w:t>–</w:t>
      </w:r>
      <w:r w:rsidR="00B430F8" w:rsidRPr="00444DBF">
        <w:rPr>
          <w:sz w:val="26"/>
          <w:szCs w:val="26"/>
        </w:rPr>
        <w:t xml:space="preserve"> 9</w:t>
      </w:r>
      <w:r w:rsidR="007002C4" w:rsidRPr="00444DBF">
        <w:rPr>
          <w:sz w:val="26"/>
          <w:szCs w:val="26"/>
        </w:rPr>
        <w:t xml:space="preserve"> должна указываться </w:t>
      </w:r>
      <w:r w:rsidR="00B430F8" w:rsidRPr="00444DBF">
        <w:rPr>
          <w:sz w:val="26"/>
          <w:szCs w:val="26"/>
        </w:rPr>
        <w:t>нагрузка (потребляемая мощность) и суточное потребление электрической энергии по последним зимнему и летнему замерам раздельно. При этом необходимо учесть все происшедшие с того времени изменения в потреблении электрической энергии и мощности в результате ввода дополнительных мощностей или демонтажа оборудования. Если потребитель в последний замер имел нехарактерную нагрузку из-за проводимых сетевой организацией регулировочных мероприятий по ее снижению или по другим причинам, то при определении нагрузки в часы максимума необходимо внести соответствующие коррективы или по согласованию с сетевой организацией перенести день замера.</w:t>
      </w:r>
      <w:r w:rsidR="000C235F" w:rsidRPr="00444DBF">
        <w:rPr>
          <w:sz w:val="26"/>
          <w:szCs w:val="26"/>
        </w:rPr>
        <w:t xml:space="preserve"> </w:t>
      </w:r>
    </w:p>
    <w:p w:rsidR="00B430F8" w:rsidRPr="00444DBF" w:rsidRDefault="000C235F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3.5.</w:t>
      </w:r>
      <w:r w:rsidR="00B430F8" w:rsidRPr="00444DBF">
        <w:rPr>
          <w:sz w:val="26"/>
          <w:szCs w:val="26"/>
        </w:rPr>
        <w:t xml:space="preserve"> </w:t>
      </w:r>
      <w:r w:rsidRPr="00444DBF">
        <w:rPr>
          <w:sz w:val="26"/>
          <w:szCs w:val="26"/>
        </w:rPr>
        <w:t xml:space="preserve">В строках </w:t>
      </w:r>
      <w:r w:rsidR="00B430F8" w:rsidRPr="00444DBF">
        <w:rPr>
          <w:sz w:val="26"/>
          <w:szCs w:val="26"/>
        </w:rPr>
        <w:t xml:space="preserve">10 </w:t>
      </w:r>
      <w:r w:rsidRPr="00444DBF">
        <w:rPr>
          <w:sz w:val="26"/>
          <w:szCs w:val="26"/>
        </w:rPr>
        <w:t xml:space="preserve">– </w:t>
      </w:r>
      <w:r w:rsidR="00B430F8" w:rsidRPr="00444DBF">
        <w:rPr>
          <w:sz w:val="26"/>
          <w:szCs w:val="26"/>
        </w:rPr>
        <w:t xml:space="preserve">11 </w:t>
      </w:r>
      <w:r w:rsidRPr="00444DBF">
        <w:rPr>
          <w:sz w:val="26"/>
          <w:szCs w:val="26"/>
        </w:rPr>
        <w:t>должна указываться</w:t>
      </w:r>
      <w:r w:rsidR="00B430F8" w:rsidRPr="00444DBF">
        <w:rPr>
          <w:sz w:val="26"/>
          <w:szCs w:val="26"/>
        </w:rPr>
        <w:t xml:space="preserve"> величина аварийной и технологической брони электроснабжения методом суммирования нагрузок электроприемников по 6 и 10 графам раздела II </w:t>
      </w:r>
      <w:r w:rsidRPr="00444DBF">
        <w:rPr>
          <w:sz w:val="26"/>
          <w:szCs w:val="26"/>
        </w:rPr>
        <w:t>Акта АТБ</w:t>
      </w:r>
      <w:r w:rsidR="00B430F8" w:rsidRPr="00444DBF">
        <w:rPr>
          <w:sz w:val="26"/>
          <w:szCs w:val="26"/>
        </w:rPr>
        <w:t xml:space="preserve"> соответственно.</w:t>
      </w:r>
    </w:p>
    <w:p w:rsidR="00B430F8" w:rsidRPr="00444DBF" w:rsidRDefault="00B430F8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По строке 10.1 указывается нагрузка (потребляемая мощность) электроприемников аварийной брони электроснабжения, включение которых требуется только в экстремальных ситуациях, например</w:t>
      </w:r>
      <w:r w:rsidR="001407B7" w:rsidRPr="00444DBF">
        <w:rPr>
          <w:sz w:val="26"/>
          <w:szCs w:val="26"/>
        </w:rPr>
        <w:t>,</w:t>
      </w:r>
      <w:r w:rsidRPr="00444DBF">
        <w:rPr>
          <w:sz w:val="26"/>
          <w:szCs w:val="26"/>
        </w:rPr>
        <w:t xml:space="preserve"> насосы пожаротушения.</w:t>
      </w:r>
    </w:p>
    <w:p w:rsidR="005B761F" w:rsidRPr="00444DBF" w:rsidRDefault="005B761F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3.6. Все величины, указанные в графах 7 – 11 таблицы должны соответствовать единицам измерения, указанным в соответствующих графах</w:t>
      </w:r>
      <w:r w:rsidR="00BA43F1" w:rsidRPr="00444DBF">
        <w:rPr>
          <w:sz w:val="26"/>
          <w:szCs w:val="26"/>
        </w:rPr>
        <w:t xml:space="preserve"> (тыс. кВт, тыс</w:t>
      </w:r>
      <w:r w:rsidRPr="00444DBF">
        <w:rPr>
          <w:sz w:val="26"/>
          <w:szCs w:val="26"/>
        </w:rPr>
        <w:t>.</w:t>
      </w:r>
      <w:r w:rsidR="00BA43F1" w:rsidRPr="00444DBF">
        <w:rPr>
          <w:sz w:val="26"/>
          <w:szCs w:val="26"/>
        </w:rPr>
        <w:t xml:space="preserve"> кВт*ч)</w:t>
      </w:r>
    </w:p>
    <w:p w:rsidR="005B761F" w:rsidRPr="00444DBF" w:rsidRDefault="005B761F" w:rsidP="00B430F8">
      <w:pPr>
        <w:rPr>
          <w:sz w:val="26"/>
          <w:szCs w:val="26"/>
        </w:rPr>
      </w:pPr>
    </w:p>
    <w:p w:rsidR="00B430F8" w:rsidRPr="00444DBF" w:rsidRDefault="000C235F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B430F8" w:rsidRPr="00444DBF">
        <w:rPr>
          <w:sz w:val="26"/>
          <w:szCs w:val="26"/>
        </w:rPr>
        <w:t>. Заполнение раздела I</w:t>
      </w:r>
      <w:r w:rsidR="00030E2C" w:rsidRPr="00444DBF">
        <w:rPr>
          <w:sz w:val="26"/>
          <w:szCs w:val="26"/>
        </w:rPr>
        <w:t xml:space="preserve">I </w:t>
      </w:r>
      <w:r w:rsidR="00B430F8" w:rsidRPr="00444DBF">
        <w:rPr>
          <w:sz w:val="26"/>
          <w:szCs w:val="26"/>
        </w:rPr>
        <w:t>Акта</w:t>
      </w:r>
      <w:r w:rsidR="00030E2C" w:rsidRPr="00444DBF">
        <w:rPr>
          <w:sz w:val="26"/>
          <w:szCs w:val="26"/>
        </w:rPr>
        <w:t xml:space="preserve"> АТБ</w:t>
      </w:r>
      <w:r w:rsidR="00B430F8" w:rsidRPr="00444DBF">
        <w:rPr>
          <w:sz w:val="26"/>
          <w:szCs w:val="26"/>
        </w:rPr>
        <w:t xml:space="preserve"> – Технические характеристики электроснабжения потребителя электрической энергии</w:t>
      </w:r>
      <w:r w:rsidR="00504C89" w:rsidRPr="00444DBF">
        <w:rPr>
          <w:sz w:val="26"/>
          <w:szCs w:val="26"/>
        </w:rPr>
        <w:t>.</w:t>
      </w:r>
    </w:p>
    <w:p w:rsidR="00B430F8" w:rsidRPr="00444DBF" w:rsidRDefault="000C235F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B430F8" w:rsidRPr="00444DBF">
        <w:rPr>
          <w:sz w:val="26"/>
          <w:szCs w:val="26"/>
        </w:rPr>
        <w:t>.1. Часть 1. Таблица</w:t>
      </w:r>
    </w:p>
    <w:p w:rsidR="00B430F8" w:rsidRPr="00444DBF" w:rsidRDefault="000C235F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B430F8" w:rsidRPr="00444DBF">
        <w:rPr>
          <w:sz w:val="26"/>
          <w:szCs w:val="26"/>
        </w:rPr>
        <w:t>.1.1. В графах 2 и 3 указываются диспетчерские наименования и номера питающих центров и питающих линий сетевой организации, а также других источников электроснабжения, в том числе и автономных.</w:t>
      </w:r>
      <w:r w:rsidR="00030E2C" w:rsidRPr="00444DBF">
        <w:rPr>
          <w:sz w:val="26"/>
          <w:szCs w:val="26"/>
        </w:rPr>
        <w:t xml:space="preserve"> Диспетчерские наименования питающих центров и питающих линий сетевой организации должны соответствовать диспетчерским наименованиям, указанным в документах о технологическом присоединении.</w:t>
      </w:r>
    </w:p>
    <w:p w:rsidR="00B430F8" w:rsidRPr="00444DBF" w:rsidRDefault="00030E2C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427932" w:rsidRPr="00444DBF">
        <w:rPr>
          <w:sz w:val="26"/>
          <w:szCs w:val="26"/>
        </w:rPr>
        <w:t xml:space="preserve">.1.2. </w:t>
      </w:r>
      <w:r w:rsidR="00B430F8" w:rsidRPr="00444DBF">
        <w:rPr>
          <w:sz w:val="26"/>
          <w:szCs w:val="26"/>
        </w:rPr>
        <w:t>В графе 4 проставляется нагрузка питающих линий в нормальном режиме работы определяется по последнему зимнему и летнему замер</w:t>
      </w:r>
      <w:r w:rsidR="00427932" w:rsidRPr="00444DBF">
        <w:rPr>
          <w:sz w:val="26"/>
          <w:szCs w:val="26"/>
        </w:rPr>
        <w:t xml:space="preserve">ам из ведомости сетевой </w:t>
      </w:r>
      <w:r w:rsidR="00B430F8" w:rsidRPr="00444DBF">
        <w:rPr>
          <w:sz w:val="26"/>
          <w:szCs w:val="26"/>
        </w:rPr>
        <w:t xml:space="preserve">организации или потребителя (с учетом коррекции по п. </w:t>
      </w:r>
      <w:r w:rsidRPr="00444DBF">
        <w:rPr>
          <w:sz w:val="26"/>
          <w:szCs w:val="26"/>
        </w:rPr>
        <w:t>3.4.</w:t>
      </w:r>
      <w:r w:rsidR="00427932" w:rsidRPr="00444DBF">
        <w:rPr>
          <w:sz w:val="26"/>
          <w:szCs w:val="26"/>
        </w:rPr>
        <w:t xml:space="preserve"> настоящих рекомендаций</w:t>
      </w:r>
      <w:r w:rsidR="00B430F8" w:rsidRPr="00444DBF">
        <w:rPr>
          <w:sz w:val="26"/>
          <w:szCs w:val="26"/>
        </w:rPr>
        <w:t>).</w:t>
      </w:r>
    </w:p>
    <w:p w:rsidR="00B430F8" w:rsidRPr="00444DBF" w:rsidRDefault="00030E2C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427932" w:rsidRPr="00444DBF">
        <w:rPr>
          <w:sz w:val="26"/>
          <w:szCs w:val="26"/>
        </w:rPr>
        <w:t xml:space="preserve">.1.3. </w:t>
      </w:r>
      <w:r w:rsidR="00B430F8" w:rsidRPr="00444DBF">
        <w:rPr>
          <w:sz w:val="26"/>
          <w:szCs w:val="26"/>
        </w:rPr>
        <w:t xml:space="preserve">В графе 5 перечисляются все электроприемники, отнесенные к аварийной броне электроснабжения при полном останове работы потребителя. Электроприемники аварийной брони электроснабжения указываются по каждой питающей линии раздельно, в </w:t>
      </w:r>
      <w:proofErr w:type="spellStart"/>
      <w:r w:rsidR="00B430F8" w:rsidRPr="00444DBF">
        <w:rPr>
          <w:sz w:val="26"/>
          <w:szCs w:val="26"/>
        </w:rPr>
        <w:t>т.ч</w:t>
      </w:r>
      <w:proofErr w:type="spellEnd"/>
      <w:r w:rsidR="00B430F8" w:rsidRPr="00444DBF">
        <w:rPr>
          <w:sz w:val="26"/>
          <w:szCs w:val="26"/>
        </w:rPr>
        <w:t xml:space="preserve">. и </w:t>
      </w:r>
      <w:r w:rsidR="00427932" w:rsidRPr="00444DBF">
        <w:rPr>
          <w:sz w:val="26"/>
          <w:szCs w:val="26"/>
        </w:rPr>
        <w:t>опосредовано присоединенных потребителей</w:t>
      </w:r>
      <w:r w:rsidR="00B430F8" w:rsidRPr="00444DBF">
        <w:rPr>
          <w:sz w:val="26"/>
          <w:szCs w:val="26"/>
        </w:rPr>
        <w:t>.</w:t>
      </w:r>
    </w:p>
    <w:p w:rsidR="00B430F8" w:rsidRPr="00444DBF" w:rsidRDefault="00030E2C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427932" w:rsidRPr="00444DBF">
        <w:rPr>
          <w:sz w:val="26"/>
          <w:szCs w:val="26"/>
        </w:rPr>
        <w:t xml:space="preserve">.1.4. </w:t>
      </w:r>
      <w:r w:rsidR="00B430F8" w:rsidRPr="00444DBF">
        <w:rPr>
          <w:sz w:val="26"/>
          <w:szCs w:val="26"/>
        </w:rPr>
        <w:t xml:space="preserve">В графе 6 проставляется </w:t>
      </w:r>
      <w:r w:rsidR="00427932" w:rsidRPr="00444DBF">
        <w:rPr>
          <w:sz w:val="26"/>
          <w:szCs w:val="26"/>
        </w:rPr>
        <w:t xml:space="preserve">номинальная мощность </w:t>
      </w:r>
      <w:r w:rsidR="00B430F8" w:rsidRPr="00444DBF">
        <w:rPr>
          <w:sz w:val="26"/>
          <w:szCs w:val="26"/>
        </w:rPr>
        <w:t xml:space="preserve">электроприемников, определенная </w:t>
      </w:r>
      <w:r w:rsidR="00427932" w:rsidRPr="00444DBF">
        <w:rPr>
          <w:sz w:val="26"/>
          <w:szCs w:val="26"/>
        </w:rPr>
        <w:t>в соответствии</w:t>
      </w:r>
      <w:r w:rsidRPr="00444DBF">
        <w:rPr>
          <w:sz w:val="26"/>
          <w:szCs w:val="26"/>
        </w:rPr>
        <w:t xml:space="preserve"> с технической документацией</w:t>
      </w:r>
      <w:r w:rsidR="00427932" w:rsidRPr="00444DBF">
        <w:rPr>
          <w:sz w:val="26"/>
          <w:szCs w:val="26"/>
        </w:rPr>
        <w:t xml:space="preserve"> </w:t>
      </w:r>
      <w:proofErr w:type="spellStart"/>
      <w:r w:rsidR="00427932" w:rsidRPr="00444DBF">
        <w:rPr>
          <w:sz w:val="26"/>
          <w:szCs w:val="26"/>
        </w:rPr>
        <w:t>электроприемника</w:t>
      </w:r>
      <w:proofErr w:type="spellEnd"/>
      <w:r w:rsidR="00B430F8" w:rsidRPr="00444DBF">
        <w:rPr>
          <w:sz w:val="26"/>
          <w:szCs w:val="26"/>
        </w:rPr>
        <w:t xml:space="preserve"> или расчетным путем </w:t>
      </w:r>
      <w:r w:rsidR="00CB20D2" w:rsidRPr="00444DBF">
        <w:rPr>
          <w:sz w:val="26"/>
          <w:szCs w:val="26"/>
        </w:rPr>
        <w:t>при отсутствии документов</w:t>
      </w:r>
      <w:r w:rsidR="00B430F8" w:rsidRPr="00444DBF">
        <w:rPr>
          <w:sz w:val="26"/>
          <w:szCs w:val="26"/>
        </w:rPr>
        <w:t xml:space="preserve">. </w:t>
      </w:r>
      <w:r w:rsidR="00CB20D2" w:rsidRPr="00444DBF">
        <w:rPr>
          <w:sz w:val="26"/>
          <w:szCs w:val="26"/>
        </w:rPr>
        <w:t>Суммарная максимальная мощность</w:t>
      </w:r>
      <w:r w:rsidR="00B430F8" w:rsidRPr="00444DBF">
        <w:rPr>
          <w:sz w:val="26"/>
          <w:szCs w:val="26"/>
        </w:rPr>
        <w:t xml:space="preserve"> определяется для зимнего и летнего периодов.</w:t>
      </w:r>
    </w:p>
    <w:p w:rsidR="00B430F8" w:rsidRPr="00444DBF" w:rsidRDefault="008F3FB2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B20D2" w:rsidRPr="00444DBF">
        <w:rPr>
          <w:sz w:val="26"/>
          <w:szCs w:val="26"/>
        </w:rPr>
        <w:t xml:space="preserve">.1.5. </w:t>
      </w:r>
      <w:r w:rsidR="00B430F8" w:rsidRPr="00444DBF">
        <w:rPr>
          <w:sz w:val="26"/>
          <w:szCs w:val="26"/>
        </w:rPr>
        <w:t>В графе 7 указывается полное наименование питающей линии, на которую может быть переведено электроснабжение электроприемников аварийной брони, и способ переключения (в том числе при переводе на автономный источник).</w:t>
      </w:r>
    </w:p>
    <w:p w:rsidR="001407B7" w:rsidRPr="00444DBF" w:rsidRDefault="001E29F0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 xml:space="preserve">4.1.8. В графе 8 указывается продолжительность времени, необходимого для завершения технологического процесса, в соответствии с технологическими картами, по истечении которого могут быть отключены соответствующие </w:t>
      </w:r>
      <w:proofErr w:type="spellStart"/>
      <w:r w:rsidRPr="00444DBF">
        <w:rPr>
          <w:sz w:val="26"/>
          <w:szCs w:val="26"/>
        </w:rPr>
        <w:t>электроприемники</w:t>
      </w:r>
      <w:proofErr w:type="spellEnd"/>
      <w:r w:rsidRPr="00444DBF">
        <w:rPr>
          <w:sz w:val="26"/>
          <w:szCs w:val="26"/>
        </w:rPr>
        <w:t>.</w:t>
      </w:r>
    </w:p>
    <w:p w:rsidR="00C3072A" w:rsidRPr="00444DBF" w:rsidRDefault="008F3FB2" w:rsidP="00B430F8">
      <w:pPr>
        <w:rPr>
          <w:rFonts w:cs="Times New Roman"/>
          <w:sz w:val="26"/>
          <w:szCs w:val="26"/>
        </w:rPr>
      </w:pPr>
      <w:r w:rsidRPr="00444DBF">
        <w:rPr>
          <w:sz w:val="26"/>
          <w:szCs w:val="26"/>
        </w:rPr>
        <w:lastRenderedPageBreak/>
        <w:t>4</w:t>
      </w:r>
      <w:r w:rsidR="009369F4" w:rsidRPr="00444DBF">
        <w:rPr>
          <w:sz w:val="26"/>
          <w:szCs w:val="26"/>
        </w:rPr>
        <w:t xml:space="preserve">.1.6. </w:t>
      </w:r>
      <w:r w:rsidR="009D59DA" w:rsidRPr="00444DBF">
        <w:rPr>
          <w:sz w:val="26"/>
          <w:szCs w:val="26"/>
        </w:rPr>
        <w:t>В графе 9</w:t>
      </w:r>
      <w:r w:rsidR="00B430F8" w:rsidRPr="00444DBF">
        <w:rPr>
          <w:sz w:val="26"/>
          <w:szCs w:val="26"/>
        </w:rPr>
        <w:t xml:space="preserve"> перечисляются электроприемники, обеспечивающие потребителю завершение технологического процесса.</w:t>
      </w:r>
      <w:r w:rsidRPr="00444DBF">
        <w:rPr>
          <w:sz w:val="26"/>
          <w:szCs w:val="26"/>
        </w:rPr>
        <w:t xml:space="preserve"> В случае отсутствия на объекте</w:t>
      </w:r>
      <w:r w:rsidR="00C3072A" w:rsidRPr="00444DBF">
        <w:rPr>
          <w:rFonts w:cs="Times New Roman"/>
          <w:sz w:val="26"/>
          <w:szCs w:val="26"/>
        </w:rPr>
        <w:t xml:space="preserve"> технологическ</w:t>
      </w:r>
      <w:r w:rsidR="005B761F" w:rsidRPr="00444DBF">
        <w:rPr>
          <w:rFonts w:cs="Times New Roman"/>
          <w:sz w:val="26"/>
          <w:szCs w:val="26"/>
        </w:rPr>
        <w:t>ого</w:t>
      </w:r>
      <w:r w:rsidR="00C3072A" w:rsidRPr="00444DBF">
        <w:rPr>
          <w:rFonts w:cs="Times New Roman"/>
          <w:sz w:val="26"/>
          <w:szCs w:val="26"/>
        </w:rPr>
        <w:t xml:space="preserve"> процесс</w:t>
      </w:r>
      <w:r w:rsidR="005B761F" w:rsidRPr="00444DBF">
        <w:rPr>
          <w:rFonts w:cs="Times New Roman"/>
          <w:sz w:val="26"/>
          <w:szCs w:val="26"/>
        </w:rPr>
        <w:t>а</w:t>
      </w:r>
      <w:r w:rsidR="00C3072A" w:rsidRPr="00444DBF">
        <w:rPr>
          <w:rFonts w:cs="Times New Roman"/>
          <w:sz w:val="26"/>
          <w:szCs w:val="26"/>
        </w:rPr>
        <w:t>, внезапное прекращение котор</w:t>
      </w:r>
      <w:r w:rsidR="005B761F" w:rsidRPr="00444DBF">
        <w:rPr>
          <w:rFonts w:cs="Times New Roman"/>
          <w:sz w:val="26"/>
          <w:szCs w:val="26"/>
        </w:rPr>
        <w:t xml:space="preserve">ого </w:t>
      </w:r>
      <w:r w:rsidR="00C3072A" w:rsidRPr="00444DBF">
        <w:rPr>
          <w:rFonts w:cs="Times New Roman"/>
          <w:sz w:val="26"/>
          <w:szCs w:val="26"/>
        </w:rPr>
        <w:t>вызывает необратимое нарушение технологического процесса и (или) опасность для жизни людей, окружающей среды, в графе 9 указывается «отсутствуют»</w:t>
      </w:r>
      <w:r w:rsidR="0008259F" w:rsidRPr="00444DBF">
        <w:rPr>
          <w:rFonts w:cs="Times New Roman"/>
          <w:sz w:val="26"/>
          <w:szCs w:val="26"/>
        </w:rPr>
        <w:t>, а в графах 10 – 12 указывается прочерк</w:t>
      </w:r>
      <w:r w:rsidR="00C3072A" w:rsidRPr="00444DBF">
        <w:rPr>
          <w:rFonts w:cs="Times New Roman"/>
          <w:sz w:val="26"/>
          <w:szCs w:val="26"/>
        </w:rPr>
        <w:t>.</w:t>
      </w:r>
    </w:p>
    <w:p w:rsidR="009D59DA" w:rsidRPr="00444DBF" w:rsidRDefault="00403F13" w:rsidP="00C3072A">
      <w:pPr>
        <w:ind w:firstLine="708"/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9D59DA" w:rsidRPr="00444DBF">
        <w:rPr>
          <w:sz w:val="26"/>
          <w:szCs w:val="26"/>
        </w:rPr>
        <w:t>.1.7. В графе 10</w:t>
      </w:r>
      <w:r w:rsidR="00B430F8" w:rsidRPr="00444DBF">
        <w:rPr>
          <w:sz w:val="26"/>
          <w:szCs w:val="26"/>
        </w:rPr>
        <w:t xml:space="preserve"> </w:t>
      </w:r>
      <w:r w:rsidR="009D59DA" w:rsidRPr="00444DBF">
        <w:rPr>
          <w:sz w:val="26"/>
          <w:szCs w:val="26"/>
        </w:rPr>
        <w:t>проставляется номинальная мощность электроприемников, определенная в соответствии с технической документаци</w:t>
      </w:r>
      <w:r w:rsidRPr="00444DBF">
        <w:rPr>
          <w:sz w:val="26"/>
          <w:szCs w:val="26"/>
        </w:rPr>
        <w:t>ей</w:t>
      </w:r>
      <w:r w:rsidR="009D59DA" w:rsidRPr="00444DBF">
        <w:rPr>
          <w:sz w:val="26"/>
          <w:szCs w:val="26"/>
        </w:rPr>
        <w:t xml:space="preserve"> </w:t>
      </w:r>
      <w:proofErr w:type="spellStart"/>
      <w:r w:rsidR="009D59DA" w:rsidRPr="00444DBF">
        <w:rPr>
          <w:sz w:val="26"/>
          <w:szCs w:val="26"/>
        </w:rPr>
        <w:t>электроприемника</w:t>
      </w:r>
      <w:proofErr w:type="spellEnd"/>
      <w:r w:rsidR="009D59DA" w:rsidRPr="00444DBF">
        <w:rPr>
          <w:sz w:val="26"/>
          <w:szCs w:val="26"/>
        </w:rPr>
        <w:t xml:space="preserve"> или расчетным путем при отсутствии документов. Суммарная максимальная мощность определяется для зимнего и летнего периодов.</w:t>
      </w:r>
    </w:p>
    <w:p w:rsidR="00216BFC" w:rsidRPr="00444DBF" w:rsidRDefault="00403F13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9D59DA" w:rsidRPr="00444DBF">
        <w:rPr>
          <w:sz w:val="26"/>
          <w:szCs w:val="26"/>
        </w:rPr>
        <w:t>.1.8. В графе 11</w:t>
      </w:r>
      <w:r w:rsidRPr="00444DBF">
        <w:rPr>
          <w:sz w:val="26"/>
          <w:szCs w:val="26"/>
        </w:rPr>
        <w:t xml:space="preserve"> указывается п</w:t>
      </w:r>
      <w:r w:rsidRPr="00444DBF">
        <w:rPr>
          <w:rFonts w:cs="Times New Roman"/>
          <w:sz w:val="26"/>
          <w:szCs w:val="26"/>
        </w:rPr>
        <w:t>родолжительность времени, необходимого для завершения технологическ</w:t>
      </w:r>
      <w:r w:rsidR="00216BFC" w:rsidRPr="00444DBF">
        <w:rPr>
          <w:rFonts w:cs="Times New Roman"/>
          <w:sz w:val="26"/>
          <w:szCs w:val="26"/>
        </w:rPr>
        <w:t xml:space="preserve">ого процесса, в соответствии с </w:t>
      </w:r>
      <w:r w:rsidR="00216BFC" w:rsidRPr="00444DBF">
        <w:rPr>
          <w:sz w:val="26"/>
          <w:szCs w:val="26"/>
        </w:rPr>
        <w:t xml:space="preserve">технологическими картами, по истечении которого могут быть отключены соответствующие </w:t>
      </w:r>
      <w:proofErr w:type="spellStart"/>
      <w:r w:rsidR="00216BFC" w:rsidRPr="00444DBF">
        <w:rPr>
          <w:sz w:val="26"/>
          <w:szCs w:val="26"/>
        </w:rPr>
        <w:t>электроприемники</w:t>
      </w:r>
      <w:proofErr w:type="spellEnd"/>
      <w:r w:rsidR="00216BFC" w:rsidRPr="00444DBF">
        <w:rPr>
          <w:sz w:val="26"/>
          <w:szCs w:val="26"/>
        </w:rPr>
        <w:t>.</w:t>
      </w:r>
    </w:p>
    <w:p w:rsidR="00B430F8" w:rsidRPr="00444DBF" w:rsidRDefault="00755311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9D59DA" w:rsidRPr="00444DBF">
        <w:rPr>
          <w:sz w:val="26"/>
          <w:szCs w:val="26"/>
        </w:rPr>
        <w:t xml:space="preserve">.1.9. </w:t>
      </w:r>
      <w:r w:rsidR="00B430F8" w:rsidRPr="00444DBF">
        <w:rPr>
          <w:sz w:val="26"/>
          <w:szCs w:val="26"/>
        </w:rPr>
        <w:t>В графе 1</w:t>
      </w:r>
      <w:r w:rsidR="009D59DA" w:rsidRPr="00444DBF">
        <w:rPr>
          <w:sz w:val="26"/>
          <w:szCs w:val="26"/>
        </w:rPr>
        <w:t>2</w:t>
      </w:r>
      <w:r w:rsidR="00B430F8" w:rsidRPr="00444DBF">
        <w:rPr>
          <w:sz w:val="26"/>
          <w:szCs w:val="26"/>
        </w:rPr>
        <w:t xml:space="preserve"> указывается максимально допустимое время перерыва электроснабжения установки, не приводящее к необратимому нарушению технологического процесса.</w:t>
      </w:r>
    </w:p>
    <w:p w:rsidR="005B761F" w:rsidRPr="00444DBF" w:rsidRDefault="005B761F" w:rsidP="00B430F8">
      <w:pPr>
        <w:rPr>
          <w:sz w:val="26"/>
          <w:szCs w:val="26"/>
        </w:rPr>
      </w:pP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 xml:space="preserve">.2. </w:t>
      </w:r>
      <w:r w:rsidR="00B430F8" w:rsidRPr="00444DBF">
        <w:rPr>
          <w:sz w:val="26"/>
          <w:szCs w:val="26"/>
        </w:rPr>
        <w:t>Часть 2.</w:t>
      </w: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>.2.</w:t>
      </w:r>
      <w:r w:rsidR="00B430F8" w:rsidRPr="00444DBF">
        <w:rPr>
          <w:sz w:val="26"/>
          <w:szCs w:val="26"/>
        </w:rPr>
        <w:t xml:space="preserve">1. В пункте 1 указываются питающие линии, которые могут быть немедленно (без предупреждения) отключены с питающих центров </w:t>
      </w:r>
      <w:proofErr w:type="spellStart"/>
      <w:r w:rsidR="00B430F8" w:rsidRPr="00444DBF">
        <w:rPr>
          <w:sz w:val="26"/>
          <w:szCs w:val="26"/>
        </w:rPr>
        <w:t>энергоснабжающей</w:t>
      </w:r>
      <w:proofErr w:type="spellEnd"/>
      <w:r w:rsidR="00B430F8" w:rsidRPr="00444DBF">
        <w:rPr>
          <w:sz w:val="26"/>
          <w:szCs w:val="26"/>
        </w:rPr>
        <w:t xml:space="preserve"> организации или потребителя электрической энергии.</w:t>
      </w: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>.2.</w:t>
      </w:r>
      <w:r w:rsidR="00B430F8" w:rsidRPr="00444DBF">
        <w:rPr>
          <w:sz w:val="26"/>
          <w:szCs w:val="26"/>
        </w:rPr>
        <w:t>2. В пункте 2 указываются питающие линии, которые могут быть отключены немедленно, но на определенное время, по истечении которого они должны быть вновь включены.</w:t>
      </w: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>.2.</w:t>
      </w:r>
      <w:r w:rsidR="00B430F8" w:rsidRPr="00444DBF">
        <w:rPr>
          <w:sz w:val="26"/>
          <w:szCs w:val="26"/>
        </w:rPr>
        <w:t>3. В пункте 3 указываются питающие линии из числа остающихся в работе, которые могут быть отключены по истечении времени, необходимого для завершения технологического процесса.</w:t>
      </w: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>.2.</w:t>
      </w:r>
      <w:r w:rsidR="00B430F8" w:rsidRPr="00444DBF">
        <w:rPr>
          <w:sz w:val="26"/>
          <w:szCs w:val="26"/>
        </w:rPr>
        <w:t xml:space="preserve">4. В пункте 4 указывается суммарная нагрузка отключаемых потребителем </w:t>
      </w:r>
      <w:proofErr w:type="spellStart"/>
      <w:r w:rsidR="00B430F8" w:rsidRPr="00444DBF">
        <w:rPr>
          <w:sz w:val="26"/>
          <w:szCs w:val="26"/>
        </w:rPr>
        <w:t>электроприемников</w:t>
      </w:r>
      <w:proofErr w:type="spellEnd"/>
      <w:r w:rsidR="00B430F8" w:rsidRPr="00444DBF">
        <w:rPr>
          <w:sz w:val="26"/>
          <w:szCs w:val="26"/>
        </w:rPr>
        <w:t xml:space="preserve"> </w:t>
      </w:r>
      <w:r w:rsidR="00444DBF" w:rsidRPr="00444DBF">
        <w:rPr>
          <w:sz w:val="26"/>
          <w:szCs w:val="26"/>
        </w:rPr>
        <w:t xml:space="preserve">(в кВт) </w:t>
      </w:r>
      <w:r w:rsidR="00B430F8" w:rsidRPr="00444DBF">
        <w:rPr>
          <w:sz w:val="26"/>
          <w:szCs w:val="26"/>
        </w:rPr>
        <w:t>и общее количество точек (пунктов), из которых производится отключение.</w:t>
      </w:r>
    </w:p>
    <w:p w:rsidR="00B430F8" w:rsidRPr="00444DBF" w:rsidRDefault="001D56F5" w:rsidP="00B430F8">
      <w:pPr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C93E2B" w:rsidRPr="00444DBF">
        <w:rPr>
          <w:sz w:val="26"/>
          <w:szCs w:val="26"/>
        </w:rPr>
        <w:t>.2.</w:t>
      </w:r>
      <w:r w:rsidR="00B430F8" w:rsidRPr="00444DBF">
        <w:rPr>
          <w:sz w:val="26"/>
          <w:szCs w:val="26"/>
        </w:rPr>
        <w:t xml:space="preserve">5. В пункте </w:t>
      </w:r>
      <w:r w:rsidR="006274D7" w:rsidRPr="00444DBF">
        <w:rPr>
          <w:sz w:val="26"/>
          <w:szCs w:val="26"/>
        </w:rPr>
        <w:t>5</w:t>
      </w:r>
      <w:r w:rsidR="00B430F8" w:rsidRPr="00444DBF">
        <w:rPr>
          <w:sz w:val="26"/>
          <w:szCs w:val="26"/>
        </w:rPr>
        <w:t xml:space="preserve"> указывается конкретно разрешенные и запрещенные в работе АВР.</w:t>
      </w:r>
    </w:p>
    <w:p w:rsidR="008B1BBA" w:rsidRPr="00444DBF" w:rsidRDefault="001D56F5" w:rsidP="008B1BBA">
      <w:pPr>
        <w:tabs>
          <w:tab w:val="left" w:pos="1276"/>
        </w:tabs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8B1BBA" w:rsidRPr="00444DBF">
        <w:rPr>
          <w:sz w:val="26"/>
          <w:szCs w:val="26"/>
        </w:rPr>
        <w:t>.2.</w:t>
      </w:r>
      <w:r w:rsidR="008B1BBA" w:rsidRPr="00444DBF">
        <w:rPr>
          <w:sz w:val="26"/>
          <w:szCs w:val="26"/>
        </w:rPr>
        <w:t>6</w:t>
      </w:r>
      <w:r w:rsidR="008B1BBA" w:rsidRPr="00444DBF">
        <w:rPr>
          <w:sz w:val="26"/>
          <w:szCs w:val="26"/>
        </w:rPr>
        <w:t xml:space="preserve">. В пункте </w:t>
      </w:r>
      <w:r w:rsidR="008B1BBA" w:rsidRPr="00444DBF">
        <w:rPr>
          <w:sz w:val="26"/>
          <w:szCs w:val="26"/>
        </w:rPr>
        <w:t>6</w:t>
      </w:r>
      <w:r w:rsidR="008B1BBA" w:rsidRPr="00444DBF">
        <w:rPr>
          <w:sz w:val="26"/>
          <w:szCs w:val="26"/>
        </w:rPr>
        <w:t xml:space="preserve"> указывается максимальную мощность </w:t>
      </w:r>
      <w:r w:rsidR="008B1BBA" w:rsidRPr="00444DBF">
        <w:rPr>
          <w:sz w:val="26"/>
          <w:szCs w:val="26"/>
        </w:rPr>
        <w:t xml:space="preserve">(в кВт) </w:t>
      </w:r>
      <w:r w:rsidR="008B1BBA" w:rsidRPr="00444DBF">
        <w:rPr>
          <w:sz w:val="26"/>
          <w:szCs w:val="26"/>
        </w:rPr>
        <w:t>в соответствии с документами о технологическом присоединении.</w:t>
      </w:r>
    </w:p>
    <w:p w:rsidR="008B1BBA" w:rsidRPr="00444DBF" w:rsidRDefault="001D56F5" w:rsidP="008B1BBA">
      <w:pPr>
        <w:tabs>
          <w:tab w:val="left" w:pos="1276"/>
        </w:tabs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8B1BBA" w:rsidRPr="00444DBF">
        <w:rPr>
          <w:sz w:val="26"/>
          <w:szCs w:val="26"/>
        </w:rPr>
        <w:t>.2.</w:t>
      </w:r>
      <w:r w:rsidR="008B1BBA" w:rsidRPr="00444DBF">
        <w:rPr>
          <w:sz w:val="26"/>
          <w:szCs w:val="26"/>
        </w:rPr>
        <w:t>7</w:t>
      </w:r>
      <w:r w:rsidR="008B1BBA" w:rsidRPr="00444DBF">
        <w:rPr>
          <w:sz w:val="26"/>
          <w:szCs w:val="26"/>
        </w:rPr>
        <w:t xml:space="preserve">. В пункте </w:t>
      </w:r>
      <w:r w:rsidR="008B1BBA" w:rsidRPr="00444DBF">
        <w:rPr>
          <w:sz w:val="26"/>
          <w:szCs w:val="26"/>
        </w:rPr>
        <w:t>7</w:t>
      </w:r>
      <w:r w:rsidR="008B1BBA" w:rsidRPr="00444DBF">
        <w:rPr>
          <w:sz w:val="26"/>
          <w:szCs w:val="26"/>
        </w:rPr>
        <w:t xml:space="preserve"> указывается </w:t>
      </w:r>
      <w:proofErr w:type="spellStart"/>
      <w:r w:rsidR="008B1BBA" w:rsidRPr="00444DBF">
        <w:rPr>
          <w:sz w:val="26"/>
          <w:szCs w:val="26"/>
        </w:rPr>
        <w:t>к</w:t>
      </w:r>
      <w:r w:rsidR="008B1BBA" w:rsidRPr="00444DBF">
        <w:rPr>
          <w:sz w:val="26"/>
          <w:szCs w:val="26"/>
        </w:rPr>
        <w:t>атегорийность</w:t>
      </w:r>
      <w:proofErr w:type="spellEnd"/>
      <w:r w:rsidR="008B1BBA" w:rsidRPr="00444DBF">
        <w:rPr>
          <w:sz w:val="26"/>
          <w:szCs w:val="26"/>
        </w:rPr>
        <w:t xml:space="preserve"> по надежности электроснабжения</w:t>
      </w:r>
      <w:r w:rsidR="008B1BBA" w:rsidRPr="00444DBF">
        <w:rPr>
          <w:sz w:val="26"/>
          <w:szCs w:val="26"/>
        </w:rPr>
        <w:t xml:space="preserve"> </w:t>
      </w:r>
      <w:r w:rsidR="008B1BBA" w:rsidRPr="00444DBF">
        <w:rPr>
          <w:sz w:val="26"/>
          <w:szCs w:val="26"/>
        </w:rPr>
        <w:t>в соответствии с документами о технологическом присоединении.</w:t>
      </w:r>
    </w:p>
    <w:p w:rsidR="008B1BBA" w:rsidRPr="00444DBF" w:rsidRDefault="001D56F5" w:rsidP="008B1BBA">
      <w:pPr>
        <w:tabs>
          <w:tab w:val="left" w:pos="1276"/>
        </w:tabs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8B1BBA" w:rsidRPr="00444DBF">
        <w:rPr>
          <w:sz w:val="26"/>
          <w:szCs w:val="26"/>
        </w:rPr>
        <w:t>.2.8. В пункте 8 указывается н</w:t>
      </w:r>
      <w:r w:rsidR="008B1BBA" w:rsidRPr="00444DBF">
        <w:rPr>
          <w:sz w:val="26"/>
          <w:szCs w:val="26"/>
        </w:rPr>
        <w:t xml:space="preserve">аличие отдельной питающей линии для </w:t>
      </w:r>
      <w:proofErr w:type="spellStart"/>
      <w:r w:rsidR="008B1BBA" w:rsidRPr="00444DBF">
        <w:rPr>
          <w:sz w:val="26"/>
          <w:szCs w:val="26"/>
        </w:rPr>
        <w:t>электроприемников</w:t>
      </w:r>
      <w:proofErr w:type="spellEnd"/>
      <w:r w:rsidR="008B1BBA" w:rsidRPr="00444DBF">
        <w:rPr>
          <w:sz w:val="26"/>
          <w:szCs w:val="26"/>
        </w:rPr>
        <w:t xml:space="preserve"> аварийной брони, по которым подача электрической энергии (мощности) не подлежит временному отключению (да/нет</w:t>
      </w:r>
      <w:r w:rsidR="008B1BBA" w:rsidRPr="00444DBF">
        <w:rPr>
          <w:sz w:val="26"/>
          <w:szCs w:val="26"/>
        </w:rPr>
        <w:t>), подтвержденное документами о технологическом присоединении.</w:t>
      </w:r>
    </w:p>
    <w:p w:rsidR="00B430F8" w:rsidRPr="00444DBF" w:rsidRDefault="001D56F5" w:rsidP="00444DBF">
      <w:pPr>
        <w:tabs>
          <w:tab w:val="left" w:pos="1276"/>
        </w:tabs>
        <w:rPr>
          <w:sz w:val="26"/>
          <w:szCs w:val="26"/>
        </w:rPr>
      </w:pPr>
      <w:r w:rsidRPr="00444DBF">
        <w:rPr>
          <w:sz w:val="26"/>
          <w:szCs w:val="26"/>
        </w:rPr>
        <w:t>4</w:t>
      </w:r>
      <w:r w:rsidR="008B1BBA" w:rsidRPr="00444DBF">
        <w:rPr>
          <w:sz w:val="26"/>
          <w:szCs w:val="26"/>
        </w:rPr>
        <w:t>.2.</w:t>
      </w:r>
      <w:r w:rsidRPr="00444DBF">
        <w:rPr>
          <w:sz w:val="26"/>
          <w:szCs w:val="26"/>
        </w:rPr>
        <w:t>9</w:t>
      </w:r>
      <w:r w:rsidR="008B1BBA" w:rsidRPr="00444DBF">
        <w:rPr>
          <w:sz w:val="26"/>
          <w:szCs w:val="26"/>
        </w:rPr>
        <w:t xml:space="preserve">. В пункте </w:t>
      </w:r>
      <w:r w:rsidRPr="00444DBF">
        <w:rPr>
          <w:sz w:val="26"/>
          <w:szCs w:val="26"/>
        </w:rPr>
        <w:t>9</w:t>
      </w:r>
      <w:r w:rsidR="008B1BBA" w:rsidRPr="00444DBF">
        <w:rPr>
          <w:sz w:val="26"/>
          <w:szCs w:val="26"/>
        </w:rPr>
        <w:t xml:space="preserve"> указывается наличие </w:t>
      </w:r>
      <w:r w:rsidR="008B1BBA" w:rsidRPr="00444DBF">
        <w:rPr>
          <w:sz w:val="26"/>
          <w:szCs w:val="26"/>
        </w:rPr>
        <w:t>собственных автономных резервных источников питания (да/нет)</w:t>
      </w:r>
      <w:r w:rsidRPr="00444DBF">
        <w:rPr>
          <w:sz w:val="26"/>
          <w:szCs w:val="26"/>
        </w:rPr>
        <w:t xml:space="preserve">, их количество, и суммарная номинальная мощность (в </w:t>
      </w:r>
      <w:r w:rsidR="008B1BBA" w:rsidRPr="00444DBF">
        <w:rPr>
          <w:sz w:val="26"/>
          <w:szCs w:val="26"/>
        </w:rPr>
        <w:t>кВт</w:t>
      </w:r>
      <w:r w:rsidRPr="00444DBF">
        <w:rPr>
          <w:sz w:val="26"/>
          <w:szCs w:val="26"/>
        </w:rPr>
        <w:t>)</w:t>
      </w:r>
      <w:r w:rsidR="008B1BBA" w:rsidRPr="00444DBF">
        <w:rPr>
          <w:sz w:val="26"/>
          <w:szCs w:val="26"/>
        </w:rPr>
        <w:t>.</w:t>
      </w:r>
      <w:r w:rsidRPr="00444DBF">
        <w:rPr>
          <w:sz w:val="26"/>
          <w:szCs w:val="26"/>
        </w:rPr>
        <w:t xml:space="preserve"> </w:t>
      </w:r>
      <w:bookmarkStart w:id="0" w:name="_GoBack"/>
      <w:bookmarkEnd w:id="0"/>
    </w:p>
    <w:sectPr w:rsidR="00B430F8" w:rsidRPr="00444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3A2AB7"/>
    <w:multiLevelType w:val="hybridMultilevel"/>
    <w:tmpl w:val="BBE82E18"/>
    <w:lvl w:ilvl="0" w:tplc="17B28B48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2A7F009B"/>
    <w:multiLevelType w:val="hybridMultilevel"/>
    <w:tmpl w:val="59E06262"/>
    <w:lvl w:ilvl="0" w:tplc="E3386176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85F507A"/>
    <w:multiLevelType w:val="hybridMultilevel"/>
    <w:tmpl w:val="9FF29AC4"/>
    <w:lvl w:ilvl="0" w:tplc="BD0CFEB2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6E8"/>
    <w:rsid w:val="00030E2C"/>
    <w:rsid w:val="0008259F"/>
    <w:rsid w:val="000959D3"/>
    <w:rsid w:val="000A7AF2"/>
    <w:rsid w:val="000C235F"/>
    <w:rsid w:val="000D6F06"/>
    <w:rsid w:val="000F7869"/>
    <w:rsid w:val="001407B7"/>
    <w:rsid w:val="001C1BD7"/>
    <w:rsid w:val="001D56F5"/>
    <w:rsid w:val="001E29F0"/>
    <w:rsid w:val="00216BFC"/>
    <w:rsid w:val="00256D81"/>
    <w:rsid w:val="00271505"/>
    <w:rsid w:val="0029648A"/>
    <w:rsid w:val="002B6412"/>
    <w:rsid w:val="002C3A28"/>
    <w:rsid w:val="00304FCF"/>
    <w:rsid w:val="0033320B"/>
    <w:rsid w:val="00335A8D"/>
    <w:rsid w:val="00365DDA"/>
    <w:rsid w:val="00403F13"/>
    <w:rsid w:val="00427932"/>
    <w:rsid w:val="00444DBF"/>
    <w:rsid w:val="00462F75"/>
    <w:rsid w:val="0046300E"/>
    <w:rsid w:val="004A75CE"/>
    <w:rsid w:val="004E2A1D"/>
    <w:rsid w:val="00504C89"/>
    <w:rsid w:val="0058473B"/>
    <w:rsid w:val="005B761F"/>
    <w:rsid w:val="006004C7"/>
    <w:rsid w:val="00611E4E"/>
    <w:rsid w:val="006274D7"/>
    <w:rsid w:val="006403FB"/>
    <w:rsid w:val="00663C08"/>
    <w:rsid w:val="007002C4"/>
    <w:rsid w:val="00755311"/>
    <w:rsid w:val="007B26E8"/>
    <w:rsid w:val="007D6FCB"/>
    <w:rsid w:val="007D7367"/>
    <w:rsid w:val="00834393"/>
    <w:rsid w:val="00895B40"/>
    <w:rsid w:val="008B1BBA"/>
    <w:rsid w:val="008F3FB2"/>
    <w:rsid w:val="00916D1B"/>
    <w:rsid w:val="009369F4"/>
    <w:rsid w:val="00972BDD"/>
    <w:rsid w:val="009D59DA"/>
    <w:rsid w:val="00A260AE"/>
    <w:rsid w:val="00A81621"/>
    <w:rsid w:val="00A943FE"/>
    <w:rsid w:val="00AB3586"/>
    <w:rsid w:val="00AD0C03"/>
    <w:rsid w:val="00B430F8"/>
    <w:rsid w:val="00B6249E"/>
    <w:rsid w:val="00BA43F1"/>
    <w:rsid w:val="00BD06C5"/>
    <w:rsid w:val="00C3072A"/>
    <w:rsid w:val="00C37F3E"/>
    <w:rsid w:val="00C565AC"/>
    <w:rsid w:val="00C90EFB"/>
    <w:rsid w:val="00C93E2B"/>
    <w:rsid w:val="00CB20D2"/>
    <w:rsid w:val="00DF23EA"/>
    <w:rsid w:val="00DF78C6"/>
    <w:rsid w:val="00E86206"/>
    <w:rsid w:val="00F52B76"/>
    <w:rsid w:val="00FE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94C09-1168-4E8E-AE08-AC822539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6E8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документов"/>
    <w:basedOn w:val="a"/>
    <w:link w:val="a4"/>
    <w:rsid w:val="006004C7"/>
  </w:style>
  <w:style w:type="character" w:customStyle="1" w:styleId="a4">
    <w:name w:val="для документов Знак"/>
    <w:basedOn w:val="a0"/>
    <w:link w:val="a3"/>
    <w:rsid w:val="006004C7"/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7B26E8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0F78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F786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F7869"/>
    <w:rPr>
      <w:rFonts w:ascii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F78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F7869"/>
    <w:rPr>
      <w:rFonts w:ascii="Times New Roman" w:hAnsi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0F786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F78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256D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Карнаухов Игорь Иосифович</dc:creator>
  <cp:keywords/>
  <dc:description/>
  <cp:lastModifiedBy>Карнаухов Игорь Иосифович</cp:lastModifiedBy>
  <cp:revision>31</cp:revision>
  <dcterms:created xsi:type="dcterms:W3CDTF">2017-04-04T08:45:00Z</dcterms:created>
  <dcterms:modified xsi:type="dcterms:W3CDTF">2017-04-05T11:41:00Z</dcterms:modified>
</cp:coreProperties>
</file>